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d03392c7122445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36436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ISTARSKO VELEUČILIŠTE - UNIVERSITA ISTRIANA DI SCIENZE APPLICATE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409.303,98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317.472,75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372.544,22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36.759,76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2.261,81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10.986,16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25.773,60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Temeljem članka 5. i članka 12. Pravilnika o financijskom izvještavanju u proračunskom računovodstvu (Narodne novine broj 03/15, 93/15, 135/15, 2/17, 28/17, 112/18 i 126/19, 144/21, 53/2025) propisani su temeljni financijski izvještaji. Financijski izvještaj za izvještajno razdoblje sastoji se od  Izvještaja o prihodima i rashodima, primicima i izdacima i EU izvještaja po izvorima financiranja te Bilješki uz financijske izvještaje. </w:t>
      </w:r>
      <w:r>
        <w:br/>
      </w:r>
      <w:r>
        <w:t xml:space="preserve">Istarsko veleučilište Università Istriana di scienze applicate djeluje u dvije zgrade u Puli. Na adresi Riva 4 nalazi se dekanat, tajništvo, knjižnica i čitaonica, učionice, laboratoriji te ostale službe.  Na adresi sjedišta Preradovićeva 9D nalazi se Centar za istraživanje METRIS, studentska referada, uredi nastavnika, učionice i laboratoriji te se na toj adresi provodi znanstveno-istraživačka djelatnost, projekti, ispitivanja i IRI aktivnosti za poduzetnike te izvođenje praktične nastave. Veleučilište kao visokoškolska institucija izvodi studijske programe: Stručni prijediplomski studij Mehatronike, Stručni diplomski studij Mehatronike, Stručni prijediplomski studij Menadžment u gastronomiji i kultura hrane i Stručni diplomski studij Kreativni menadžment u procesima. U izvještajnom razdoblju Veleučilište provodi sljedeće projekte: RESONANCE, BusCARD 4.0 Iot, I- STEM, STEAM kreatori spajaju znanost i umjetnost, ERASMUS+ program mobilnosti, Jadranko 2.0 i ISTRAživački centar METRIS. Djelatnost Veleučilišta je: * Izdavačka, bibliotečna i informatička djelatnost vezanu uz temeljnu djelatnosti * pružanje usluga gospodarskim i drugim organizacijama kada to doprinosi razvoju osnovne djelatnosti i racionalnijoj uporabi opreme * obavljanje znanstvenoistraživačke djelatnosti, sukladno Zakonu * ustrojavanje i izvođenje programa stalnog usavršavanja iz područja i polja osnovne djelatnosti * ustrojstvo i izvedba stručnih, znanstvenih i razvojih projekata * ustrojstvo i izvedba konzultacija, ekspertiza i studija * ustrojstvo i izvedba stručnih i znanstvenih kolokvija, seminara, simpozija i drugih skupova * izvođenje nastave iz pojedinih kolegija na drugim visokim školama * izrada stručnih elaborata, ekspertiza, vještačenja, mjerenja i analiza u svrhu ispitivanja kontrole kvalitete i tehničke dijagnostike za potrebe naručilaca, kao i izrada kompjuterskih programskih paketa * pružanje usluga znanstvenog, stručnog i obrazovnog karaktera drugim institucijama, trgovačkim društvima i organima državne vlasti u cilju rješavanja stručnih i znanstvenih problema * ustrojstvo i izvedba tečajeva i drugih vidova cjeloživotnog obrazovanja * tiskanje i prodaja udžbenika i ostalih srodnih materijala potrebnih za obavljanje navedenih djelatnosti * djelatnost visokog obrazovanja (ustrojavanje i izvođenje stručnih kratkih studija, stručnih prijediplomskih studija i stručnih diplomskih studija te ustrojavanje i izvođenje programa stručnog usavršavanja za potrebe cjeloživotnog učenja) * znanstvena djelatnost (eksperimentalni ili teorijski rad, industrijsko istraživanje te eksperimentalni razvoj) * upravljanje vlastitim nekretninama, investicijama i opremom * najam poslovnog prostora * obavljanje visokostručnog i znanstvenog istraživačkog rada * pružanje usluga akreditiranih tehničkih analiza i kontrole kvalitete materijala te izrada elaborata.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221.309,96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409.303,98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w:t>
            </w:r>
          </w:p>
        </w:tc>
      </w:tr>
    </w:tbl>
    <w:p>
      <w:pPr>
        <w:spacing w:before="0" w:after="0"/>
      </w:pPr>
    </w:p>
    <w:p>
      <w:r>
        <w:t xml:space="preserve">U izvještajnom razdoblju ostvareni prihodi poslovanja u iznosu 409.303,98 eura, sa indeksom povećanja prihoda iz projekata i prihoda iz nadležnog proračuna.</w:t>
      </w:r>
      <w:r>
        <w:br/>
      </w:r>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20.955,35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Pomoći iz inozemstva i od subjekata unutar općeg proračuna sastoje se od 10.285,75 eura prihoda projekta Resonance i 10.669,360 eura zaa projekt BusCARD 4.0 IoT</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Projekt Resonance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Projekt BusCARD 4.0 IoT</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w:t>
            </w:r>
          </w:p>
        </w:tc>
      </w:tr>
    </w:tbl>
    <w:p>
      <w:pPr>
        <w:spacing w:before="0" w:after="0"/>
      </w:pPr>
    </w:p>
    <w:p>
      <w:r>
        <w:t xml:space="preserve">Prihodi od upravnih i administrativnih pristojbi, pristojbi po posebnim propisima i naknada odnose se na sufinanciranje cijene školarine i ostvareno u izvještajnom razdoblju tekuće godine u iznosu 8.640,00 eura. Prihodi su manji iz razloga što studenti su ovu akademsku godinu većinom plaćali jednokratno, a manje u ratama.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749,8</w:t>
            </w:r>
          </w:p>
        </w:tc>
      </w:tr>
    </w:tbl>
    <w:p>
      <w:pPr>
        <w:spacing w:before="0" w:after="0"/>
      </w:pPr>
    </w:p>
    <w:p>
      <w:r>
        <w:t xml:space="preserve">Prihodi od prodaje proizvoda i robe te pruženih usluga Centra istraživanja METRIS.</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w:t>
            </w:r>
          </w:p>
        </w:tc>
      </w:tr>
    </w:tbl>
    <w:p>
      <w:pPr>
        <w:spacing w:before="0" w:after="0"/>
      </w:pPr>
    </w:p>
    <w:p>
      <w:r>
        <w:t xml:space="preserve">Donacije od pravnih i fizičkih osoba izvan općeg proračuna sastoji se od prihoda projekta I-STEM u iznosu 4.707,43 eura i projekta STEAM kreatori spajaju znanost i umjetnost u iznosu 7.2973,96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189.814,73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360.392,24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w:t>
            </w:r>
          </w:p>
        </w:tc>
      </w:tr>
    </w:tbl>
    <w:p>
      <w:pPr>
        <w:spacing w:before="0" w:after="0"/>
      </w:pPr>
    </w:p>
    <w:p>
      <w:r>
        <w:t xml:space="preserve">Prihodi iz nadležnog proračuna ostvaren u izvještajnom razdoblju u iznosu 360.392,24 eura, povećani su zbog povećanja materijalnih rashoda.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58.521,23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105.462,56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w:t>
            </w:r>
          </w:p>
        </w:tc>
      </w:tr>
    </w:tbl>
    <w:p>
      <w:pPr>
        <w:spacing w:before="0" w:after="0"/>
      </w:pPr>
    </w:p>
    <w:p>
      <w:r>
        <w:t xml:space="preserve">Materijalni rashodi ostvareni u iznosu 105.462,56 eura povećani su zbog povećanja rashoda za službena putovanja, i nankdate troškova zaposlenima, te povećanje rashoda za usluge (tekuće i investicijsko održavanje, intelektualne usluge, računalne usluge).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1104,0</w:t>
            </w:r>
          </w:p>
        </w:tc>
      </w:tr>
    </w:tbl>
    <w:p>
      <w:pPr>
        <w:spacing w:before="0" w:after="0"/>
      </w:pPr>
    </w:p>
    <w:p>
      <w:r>
        <w:t xml:space="preserve">Usluge tekućeg i investicijskog održavanja odnose se na izvanredni popravak sustava grijanja i hlađenja te održavanje opreme u Metrisu.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367,3</w:t>
            </w:r>
          </w:p>
        </w:tc>
      </w:tr>
    </w:tbl>
    <w:p>
      <w:pPr>
        <w:spacing w:before="0" w:after="0"/>
      </w:pPr>
    </w:p>
    <w:p>
      <w:r>
        <w:t xml:space="preserve">Intelektualne i osobne usluge ostvarene u iznosu 39.859,78 eura, bilježe rast iz razloga provođenja aktivnosti po projektima i održavanja nastave na svim akademskim godinama.</w:t>
      </w:r>
    </w:p>
    <w:p/>
    <w:p>
      <w:pPr>
        <w:jc w:val="center"/>
        <w:pStyle w:val="Normal"/>
        <w:spacing w:line="240" w:lineRule="auto"/>
        <w:keepNext/>
      </w:pPr>
      <w:r>
        <w:rPr>
          <w:sz w:val="28"/>
          <w:rFonts w:ascii="Times New Roman" w:hAnsi="Times New Roman"/>
        </w:rPr>
        <w:t xml:space="preserve">Bilješka 13.</w:t>
      </w:r>
    </w:p>
    <w:p>
      <w:pPr>
        <w:jc w:val="both"/>
        <w:pStyle w:val="Normal"/>
        <w:spacing w:line="240" w:lineRule="auto"/>
      </w:pPr>
      <w:r>
        <w:rPr>
          <w:b/>
          <w:sz w:val="24"/>
          <w:rFonts w:ascii="Times New Roman" w:hAnsi="Times New Roman"/>
        </w:rPr>
        <w:t xml:space="preserve">EU izvještaj</w:t>
      </w:r>
    </w:p>
    <w:p>
      <w:r>
        <w:t xml:space="preserve">ISTRAživački centar METRIS</w:t>
      </w:r>
      <w:r>
        <w:br/>
      </w:r>
      <w:r>
        <w:t xml:space="preserve">Projekt ISTRAživački centar METRIS provodi Istarsko veleučilište – Università Istriana di scienze applicate u partnerstvu s Javna ustanova AURORA te tvrtkama ULJANIK TESU – ELEKTRONIKA d.o.o. i FLOW SHIP DESIGN d.o.o., a financira se iz Integriranog teritorijalnog programa 2021.–2027. (Fond za pravednu tranziciju). Projekt se odnosi na rekonstrukciju i prenamjenu zgrade u Puli (Preradovićeva 9D) te opremanje METRIS-a suvremenom istraživačkom opremom, zapošljavanje istraživača i provedbu razvojno-istraživačkih aktivnosti s poduzetnicima. Projektom se osnažuje javna regionalna istraživačka infrastruktura i omogućava MSP-ovima iz Istarske županije pristup znanju, tehnologiji i istraživačkim uslugama koje podupiru zelenu i digitalnu tranziciju te povećavaju konkurentnost i otpornost gospodarstva. Kroz projekt se planira potaknuti inovacije kod 20 MSP-ova, provesti 2 IRI projekta učinkovite suradnje s poduzećima te organizirati 5 edukativno-promidžbenih radionica, uz upravljanje projektom i aktivnosti promidžbe i vidljivosti. Ukupna vrijednost projekta iznosi 10.184.918,34 EUR, ukupno prihvatljivi troškovi 9.147.765,32 EUR, bespovratna sredstva 9.097.415,79 EUR, a proračun prijavitelja Istarsko veleučilište – Università Istriana di scienze applicate u projektu je 9.638.559,56 EUR, uz trajanje od 1.7.2025. do 1.11.2028. godine. U izvještajnom razdoblju nije bilo prihoda, rashodi poslovanja iznose 9.334,46 eura i rashodi za nabavu nefinancijske imovine iznose 8.852,47 eura</w:t>
      </w:r>
    </w:p>
    <w:p>
      <w:r>
        <w:br/>
      </w:r>
      <w:r>
        <w:t xml:space="preserve">I-STEM – Sinergijom do razvoja STEM-a u Istri</w:t>
      </w:r>
      <w:r>
        <w:br/>
      </w:r>
      <w:r>
        <w:t xml:space="preserve">Projekt I-STEM – Sinergijom do razvoja STEM-a u Istri financira se iz Europski socijalni fond plus (ESF+) kroz Poziv „Jačanje kapaciteta organizacija civilnoga društva za promociju STEM-a“, uz sufinanciranje 85% iz ESF+ i 15% iz državnog proračuna Republika Hrvatska. Projekt se odnosi na jačanje kapaciteta Zajednica tehničke kulture Istarske županije i razvoj suradnje s Istarsko veleučilište – Università Istriana di scienze applicate te s 2 osnovne i 3 srednje škole iz Istarske županije, kako bi se STEM sadržaji sustavno približili djeci i učenicima. Projektom se STEM područja populariziraju i čine dostupnijima kroz socijalno uključivanje u obrazovnom kontekstu, jačanjem kompetencija organizatora i škola te stvaranjem kontinuiranog programa aktivnosti u lokalnoj zajednici. U provedbi je planirano 332 radionice za ukupno 600 djece i učenika te 28 javnih događaja, uz studijske posjete i sudjelovanja na sajmovima/konferencijama, dok će djelatnici Istarskog veleučilišta kroz 10 izobrazbi u prvih 12 mjeseci educirati ZTKIŽ i škole te mentorirati provedbu aktivnosti. Projekt traje od 12.03.2025. do 12.03.2027., ukupni proračun iznosi 288.177,58 EUR, a proračun Istarskog veleučilišta kao partnera je 28.000,00 EUR, uz partnerstvo Istarska županija, Gimnazija Pula, Srednja škola Mate Blažine Labin, Osnovna škola Jože Šurana Višnjan, Osnovna škola „Vazmoslav Gržalja“ i Gimnazija i strukovna škola Jurja Dobrile. U izvještajnom razdoblju ostvareni prihodi od nositelja projekta u iznosu 4.707,43 eura, rashodi poslovanja iznose 3.316,17 eura.</w:t>
      </w:r>
    </w:p>
    <w:p>
      <w:r>
        <w:br/>
      </w:r>
      <w:r>
        <w:t xml:space="preserve">JADRANKO 2.0–3.0</w:t>
      </w:r>
      <w:r>
        <w:br/>
      </w:r>
      <w:r>
        <w:t xml:space="preserve">Projekt JADRANKO 2.0–3.0 provodi Istarsko veleučilište – Università Istriana di scienze applicate uz donaciju tvrtke Calucem d.o.o. u iznosu od 40.000,00 EUR, a traje od 01.01.2025. do 31.12.2026. Projekt se odnosi na razvoj i nadogradnju studentskog prototipa plovila (nastavak JADRANKO 1.0) za prikupljanje plastike i istraživanje mikroplastike u morskom okolišu, uključujući uzorkovanje i laboratorijsku analizu u okviru Centra Centar za istraživanje materijala Istarske županije METRIS. Radi se zato što je mikroplastika „nevidljiv“, ali sveprisutan problem u tlu i vodama (slatkim, slanim, pitkim i otpadnim), ulazi u europsko zakonodavstvo te još uvijek postoje ključna otvorena pitanja kako je pouzdano uzorkovati, analizirati i ukloniti bez novih ekoloških rizika. U drugoj fazi projekt razvija veće i autonomnije plovilo aluminijskog trupa s modularnim nastavcima i sustavom strojnog vida za prikupljanje plastike, a u trećoj fazi studenti uzorkuju mikroplastiku na različitim dubinama i udaljenostima od obale, u urbanim i neurbanim zonama. Prikupljeni uzorci analizirat će se u laboratoriju Veleučilišta kako bi se utvrdile vrste i količine mikroplastike, a rezultati će se javno predstaviti na završnoj konferenciji projekta, uz ukupni proračun (donaciju) od 40.000,00 EUR. U izvještajnom razdoblju nije bilo prihoda, rashodi poslovanja iznose xxxxx eura i rashodi za nabavu nefinancijske imovine iznose 3.658,62 eura</w:t>
      </w:r>
    </w:p>
    <w:p>
      <w:r>
        <w:br/>
      </w:r>
      <w:r>
        <w:t xml:space="preserve">STEAM kreatori spajaju znanost i umjetnost</w:t>
      </w:r>
      <w:r>
        <w:br/>
      </w:r>
      <w:r>
        <w:t xml:space="preserve">Projekt STEAM kreatori spajaju znanost i umjetnost financira se iz Europski socijalni fond plus (ESF+) u okviru Poziva „Jačanje kapaciteta organizacija civilnoga društva za promociju STEM-a“, a provodi ga Kreativna akademija Labin u partnerstvu s Istarsko veleučilište – Università Istriana di scienze applicate i osnovnim školama na području Labinštine. Projekt se odnosi na razvoj praktičnih i teorijskih vještina djece i mladih kroz inovativne i interaktivne STEAM radionice koje spajaju znanost, tehnologiju, inženjerstvo i matematiku s umjetnošću radi jačanja kreativnosti te digitalne i tehničke pismenosti. Provodi se zato što tradicionalni pristupi često odvajaju umjetnost od STEM predmeta, čime se sužava holističko učenje i smanjuje prostor za interdisciplinarno razmišljanje, inovacije i kreativno rješavanje problema. Aktivnosti se provode kroz suradnju s Osnovna škola Ivo Lola Ribar, Osnovna škola Matije Vlačića, Osnovna škola Vladimira Nazora Potpićan i Osnovna škola Vitomir Širola – Pajo, uz jačanje kapaciteta provoditelja i kvalitetnije opremanje i izvedbu radionica. Projekt traje od 12.03.2025. do 11.03.2027., ukupni proračun iznosi 289.005,00 EUR, a proračun Istarskog veleučilišta kao partnera je 18.805,22 EUR. U izvještajnom razdoblju ostvareni prihodi od nositelja projekta u iznosu 7.97,96 eura, rashodi poslovanja iznose 665,74 eura.</w:t>
      </w:r>
    </w:p>
    <w:p>
      <w:r>
        <w:br/>
      </w:r>
      <w:r>
        <w:t xml:space="preserve">RESONANCE (impRoving landslidE riSk preventiOn aNd mAnagement iN Coastal arEas)</w:t>
      </w:r>
      <w:r>
        <w:br/>
      </w:r>
      <w:r>
        <w:t xml:space="preserve">Projekt RESONANCE (impRoving landslidE riSk preventiOn aNd mAnagement iN Coastal arEas) odobren je u programu INTERREG VI-A Italy–Croatia CBC 2021–2027 (1st Call, standard project) s ciljem 2.1 – jačanja prilagodbe klimatskim promjenama i prevencije rizika od katastrofa kroz otpornost obalnih ekosustava. Projekt predlaže Università degli Studi di Urbino “Carlo Bo”, a provodi se 30 mjeseci, od 1.3.2024. do 31.8.2026., u partnerstvu s Građevinski fakultet Sveučilišta u Rijeci, Regionalni park Conero, CNR-ISPC (Consiglio Nazionale delle Ricerche – Istituto di Scienze del Patrimonio Culturale) i Istarsko veleučilište – Università Istriana di scienze applicate. Projekt se odnosi na smanjenje rizika za ljude i infrastrukturu u obalnim područjima Jadranska regija, poboljšanjem razumijevanja čimbenika koji utječu na obalna klizišta i eroziju uz primjenu geofizike, daljinskih istraživanja, računalstva te VR/MR/AR tehnologija. Provodi se zato što klizišta i erozivni procesi ugrožavaju sigurnost, mogu negativno utjecati na turizam i regionalno gospodarstvo te zahtijevaju suvremene alate za praćenje, predviđanje i upravljanje hidrogeološkim rizikom. Kroz četiri pilot-lokacije (uključujući Istarska županija i Primorsko-goranska županija) razvit će se viševremenski multidisciplinarni sustav praćenja, izraditi karte ranjivosti i rizika te uspostaviti virtualna baza podataka za suradnju javnih tijela, istraživača i civilne zaštite, uz ukupni budget 1.183.551,15 EUR (ERDF 80% 946.840,92 EUR) i budget Istarskog veleučilišta 150.542,50 EUR (ERDF 80% 120.434,00 EUR). U izvještajnom razdoblju ostvareni prihodi od nositelja projekta u iznosu 10.285,75 eura, rashodi poslovanja iznose 26.091,84 eura.</w:t>
      </w:r>
    </w:p>
    <w:p>
      <w:r>
        <w:br/>
      </w:r>
      <w:r>
        <w:t xml:space="preserve">BusCARD 4.0 IoT</w:t>
      </w:r>
      <w:r>
        <w:br/>
      </w:r>
      <w:r>
        <w:t xml:space="preserve">Projekt BusCARD 4.0 IoT provodi se u okviru programa „Jačanje strateških partnerstva za inovacije u procesu industrijske tranzicije” (specifični cilj: razvoj i jačanje istraživačkih i inovacijskih kapaciteta te prihvaćanje naprednih tehnologija), a predlagatelj i nositelj je PENTA d.o.o. uz partnerski konzorcij. Projekt se odnosi na razvoj vozačkog računala DCC (Driver Control Computer) – „all-in-one” IoT sustava za vozila javnog prijevoza putnika i robe, koji u jednom uređaju objedinjuje funkcije računala, validatora karata i printera. Provodi se iz razloga da kroz industrijsko istraživanje i eksperimentalni razvoj izrade proof-of-concept rješenja, integriraju se certificirane komponente i uvedu funkcionalne/tehničke inovacije koje povećavaju efikasnost i održivost prijevoza. Očekivani učinci uključuju smanjenje operativnih troškova (npr. potrošnja goriva i vrijeme čekanja), veću sigurnost i komfor putnika kroz integrirane nadzorne sustave te fleksibilnije upravljanje voznim parkom za prijevoznike, uz jačanje regionalne suradnje kroz SPIN konzorcij. Projekt traje 24 mjeseca (1.1.2025.–31.12.2026.), ukupna vrijednost projekta iznosi 984.699,77 EUR, bespovratna sredstva 584.735,43 EUR, a budžet Istarsko veleučilište – Università Istriana di scienze applicate kao partnera je 104.049,78 EUR, uz partnere SUPERIUS d.o.o., DS&amp;S d.o.o. i EINEL d.o.o. U izvještajnom razdoblju ostvareni prihodi od nositelja projekta u iznosu 10.669,60 eura, rashodi poslovanja iznose 14.978,96 eura.</w:t>
      </w:r>
    </w:p>
    <w:p>
      <w:r>
        <w:br/>
      </w:r>
      <w:r>
        <w:t xml:space="preserve">Projekt ERASMUS + mobilnost</w:t>
      </w:r>
      <w:r>
        <w:br/>
      </w:r>
      <w:r>
        <w:t xml:space="preserve">Provodi se za program Erasmus+ - Ključna aktivnost 1 za područje visokog obrazovanja, mobilnost studenata, nastavnog i nenastavnog osoblja. 01. ožujka 2026. započela je dolazna mobilnost studijskog boravka u ljetnom semestru. U izvještajnom razdoblju nije bilo odlaznih mobilnosti.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8013aad70c14ddd" /></Relationships>
</file>